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Техническое задание на закупку антивирусного программного обеспечения</w:t>
      </w:r>
    </w:p>
    <w:p>
      <w:pPr>
        <w:pStyle w:val="Heading1"/>
      </w:pPr>
      <w:r>
        <w:t xml:space="preserve">1. Общие положения</w:t>
      </w:r>
    </w:p>
    <w:p>
      <w:r>
        <w:t xml:space="preserve">Настоящее техническое задание определяет требования к товарам, поставляемым в рамках исполнения контракта на закупку лицензионного антивирусного программного обеспечения для защиты рабочих станций и серверов организации.</w:t>
      </w:r>
    </w:p>
    <w:p>
      <w:r>
        <w:t xml:space="preserve">Поставка осуществляется в соответствии с требованиями Федерального закона от 05.04.2013 № 44-ФЗ «О контрактной системе в сфере закупок», постановления Правительства РФ №878 от 16.11.2015 (об ограничениях допуска иностранного ПО) и постановления №925 от 16.09.2016 (о приоритете товаров российского происхождения).</w:t>
      </w:r>
    </w:p>
    <w:p>
      <w:r>
        <w:t xml:space="preserve">Код ОКПД2: 58.29.13.190 — Программное обеспечение прикладное общего назначения.</w:t>
      </w:r>
    </w:p>
    <w:p>
      <w:pPr>
        <w:pStyle w:val="Heading1"/>
      </w:pPr>
      <w:r>
        <w:t xml:space="preserve">2. Предмет закупки</w:t>
      </w:r>
    </w:p>
    <w:p>
      <w:r>
        <w:t xml:space="preserve">Лицензии на антивирусное программное обеспечение для защиты ___ рабочих станций и ___ серверов организации, со сроком действия лицензии не менее 12 месяцев, с включённой технической поддержкой производителя.</w:t>
      </w:r>
    </w:p>
    <w:p>
      <w:pPr>
        <w:pStyle w:val="Heading1"/>
      </w:pPr>
      <w:r>
        <w:t xml:space="preserve">3. Технические требования</w:t>
      </w:r>
    </w:p>
    <w:tbl>
      <w:tblPr>
        <w:tblW w:w="0" w:type="auto"/>
      </w:tblP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№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Требование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Значение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Наличие в Едином реестре российских программ для ЭВМ Минцифры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3.2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Сертификат соответствия ФСТЭК России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не ниже 4 класса защищённости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3.3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Поддержка операционных систем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Windows 7/10/11, Astra Linux SE 1.6/1.7, РЕД ОС, ALT Linux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3.4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Защита от вредоносных программ в реальном времени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3.5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Эвристический анализ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3.6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Веб-защита и фильтрация почты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3.7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Централизованное управление через консоль администратора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3.8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Создание отчётов и журналов событий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3.9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Срок действия лицензии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не менее 12 месяцев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3.10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Передача данных в ГосСОПКА (для значимых объектов КИИ)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при наличии значимых объектов КИИ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3.11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Поведенческий анализ (HIPS)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для класса не ниже 3 КИИ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3.12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Контроль приложений (white-list)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для значимых объектов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3.13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Защита от ransomware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</w:t>
            </w:r>
          </w:p>
        </w:tc>
      </w:tr>
      <w:tr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3.14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Интеграция с SIEM</w:t>
            </w:r>
          </w:p>
        </w:tc>
        <w:tc>
          <w:tcPr>
            <w:tcW w:w="0" w:type="auto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обязательно для значимых объектов</w:t>
            </w:r>
          </w:p>
        </w:tc>
      </w:tr>
    </w:tbl>
    <w:p>
      <w:pPr>
        <w:pStyle w:val="Heading1"/>
      </w:pPr>
      <w:r>
        <w:t xml:space="preserve">4. Количество и комплектность</w:t>
      </w:r>
    </w:p>
    <w:p>
      <w:r>
        <w:t xml:space="preserve">Количество лицензий: ____________ шт. (рабочих станций) + ____________ шт. (серверов).</w:t>
      </w:r>
    </w:p>
    <w:p>
      <w:r>
        <w:t xml:space="preserve">Комплект поставки: лицензионный ключ, формуляр изделия, лицензионный договор (EULA), лист совместимости, копия сертификата ФСТЭК.</w:t>
      </w:r>
    </w:p>
    <w:p>
      <w:pPr>
        <w:pStyle w:val="Heading1"/>
      </w:pPr>
      <w:r>
        <w:t xml:space="preserve">5. Требования к поставке</w:t>
      </w:r>
    </w:p>
    <w:p>
      <w:r>
        <w:t xml:space="preserve">• Поставщик обязан предоставить копии сертификатов ФСТЭК до подписания контракта по запросу.</w:t>
      </w:r>
    </w:p>
    <w:p>
      <w:r>
        <w:t xml:space="preserve">• Лицензионные ключи передаются по защищённому каналу (через ЭДО или защищённую электронную почту).</w:t>
      </w:r>
    </w:p>
    <w:p>
      <w:r>
        <w:t xml:space="preserve">• Документы оформляются в соответствии с 44-ФЗ — УПД, акт приёмки, спецификация.</w:t>
      </w:r>
    </w:p>
    <w:p>
      <w:r>
        <w:t xml:space="preserve">• Закрывающие документы — через ЭДО (Диадок / СБИС / Контур) или бумагой.</w:t>
      </w:r>
    </w:p>
    <w:p>
      <w:pPr>
        <w:pStyle w:val="Heading1"/>
      </w:pPr>
      <w:r>
        <w:t xml:space="preserve">6. Гарантийные обязательства</w:t>
      </w:r>
    </w:p>
    <w:p>
      <w:r>
        <w:t xml:space="preserve">Гарантийный срок — весь срок действия лицензии. Поставщик обязан предоставлять обновления безопасности и функциональности производителя.</w:t>
      </w:r>
    </w:p>
    <w:p>
      <w:pPr>
        <w:pStyle w:val="Heading1"/>
      </w:pPr>
      <w:r>
        <w:t xml:space="preserve">7. Требования к участнику закупки</w:t>
      </w:r>
    </w:p>
    <w:p>
      <w:r>
        <w:t xml:space="preserve">• Юридическое лицо, зарегистрированное в Российской Федерации.</w:t>
      </w:r>
    </w:p>
    <w:p>
      <w:r>
        <w:t xml:space="preserve">• Отсутствие в реестре недобросовестных поставщиков.</w:t>
      </w:r>
    </w:p>
    <w:p>
      <w:r>
        <w:t xml:space="preserve">• Соответствие требованиям ст.31 44-ФЗ.</w:t>
      </w:r>
    </w:p>
    <w:p>
      <w:r>
        <w:t xml:space="preserve">• Опыт поставки аналогичной продукции — не менее ____ лет.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default="1" w:styleId="Normal">
    <w:name w:val="Normal"/>
  </w:style>
  <w:style w:type="paragraph" w:styleId="Title">
    <w:name w:val="Title"/>
    <w:basedOn w:val="Normal"/>
    <w:pPr>
      <w:jc w:val="center"/>
      <w:spacing w:before="120" w:after="240"/>
    </w:pPr>
    <w:rPr>
      <w:b/>
      <w:sz w:val="32"/>
      <w:caps/>
    </w:rPr>
  </w:style>
  <w:style w:type="paragraph" w:styleId="Heading1">
    <w:name w:val="heading 1"/>
    <w:basedOn w:val="Normal"/>
    <w:pPr>
      <w:spacing w:before="240" w:after="120"/>
    </w:pPr>
    <w:rPr>
      <w:b/>
      <w:sz w:val="28"/>
    </w:rPr>
  </w:style>
  <w:style w:type="paragraph" w:styleId="Heading2">
    <w:name w:val="heading 2"/>
    <w:basedOn w:val="Normal"/>
    <w:pPr>
      <w:spacing w:before="180" w:after="60"/>
    </w:pPr>
    <w:rPr>
      <w:b/>
      <w:sz w:val="26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