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Техническое задание на закупку криптомаршрутизатора</w:t>
      </w:r>
    </w:p>
    <w:p>
      <w:pPr>
        <w:pStyle w:val="Heading1"/>
      </w:pPr>
      <w:r>
        <w:t xml:space="preserve">1. Общие положения</w:t>
      </w:r>
    </w:p>
    <w:p>
      <w:r>
        <w:t xml:space="preserve">ТЗ определяет требования к криптомаршрутизатору (криптошлюзу) для защищённого канала между удалёнными площадками организации.</w:t>
      </w:r>
    </w:p>
    <w:p>
      <w:r>
        <w:t xml:space="preserve">Поставка по 44-ФЗ, требованиям ФСБ (приказ №378), постановлению №878. ОКПД2: 26.30.11.190.</w:t>
      </w:r>
    </w:p>
    <w:p>
      <w:pPr>
        <w:pStyle w:val="Heading1"/>
      </w:pPr>
      <w:r>
        <w:t xml:space="preserve">2. Предмет закупки</w:t>
      </w:r>
    </w:p>
    <w:p>
      <w:r>
        <w:t xml:space="preserve">Криптомаршрутизаторы — ___ устройств для построения защищённой VPN-сети между офисами.</w:t>
      </w:r>
    </w:p>
    <w:p>
      <w:pPr>
        <w:pStyle w:val="Heading1"/>
      </w:pPr>
      <w:r>
        <w:t xml:space="preserve">3. Технические требования</w:t>
      </w:r>
    </w:p>
    <w:tbl>
      <w:tblPr>
        <w:tblW w:w="0" w:type="auto"/>
      </w:tblP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№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Требование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Значение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Сертификат ФСБ России на СКЗИ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не ниже КС3 или КС1 — выбор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3.2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ГОСТ Р 34.10-2012 (ЭЦП)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3.3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ГОСТ Р 34.11-2012 (хеш)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3.4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ГОСТ 28147-89 / 34.12-2015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3.5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Реестр Минцифры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3.6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Производительность IPsec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не менее ____ Мбит/с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3.7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VPN-туннелей одновременно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не менее ____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3.8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Отказоустойчивость (HA)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active-active или active-passive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3.9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Управление через web-консоль и SSH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3.10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Журналирование, экспорт в SIEM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3.11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OSPF / BGP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для крупных сетей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3.12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Гарантия производителя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не менее 12 месяцев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3.13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IPv6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3.14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QoS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3.15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Резервирование питания (2 БП)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для серверов 24/7</w:t>
            </w:r>
          </w:p>
        </w:tc>
      </w:tr>
    </w:tbl>
    <w:p>
      <w:pPr>
        <w:pStyle w:val="Heading1"/>
      </w:pPr>
      <w:r>
        <w:t xml:space="preserve">4. Количество и комплектность</w:t>
      </w:r>
    </w:p>
    <w:p>
      <w:r>
        <w:t xml:space="preserve">Количество устройств: ____________ шт.</w:t>
      </w:r>
    </w:p>
    <w:p>
      <w:r>
        <w:t xml:space="preserve">Комплект: устройство, кабели питания, лицензии, формуляр, сертификат ФСБ (копия), руководство, монтажный комплект 19".</w:t>
      </w:r>
    </w:p>
    <w:p>
      <w:pPr>
        <w:pStyle w:val="Heading1"/>
      </w:pPr>
      <w:r>
        <w:t xml:space="preserve">5. Требования к поставке</w:t>
      </w:r>
    </w:p>
    <w:p>
      <w:r>
        <w:t xml:space="preserve">• Срок 10-30 рабочих дней.</w:t>
      </w:r>
    </w:p>
    <w:p>
      <w:r>
        <w:t xml:space="preserve">• УПД через ЭДО, спецификация, акт ввода в эксплуатацию.</w:t>
      </w:r>
    </w:p>
    <w:p>
      <w:r>
        <w:t xml:space="preserve">• Установка и пуско-наладка поставщиком (если в контракте).</w:t>
      </w:r>
    </w:p>
    <w:p>
      <w:pPr>
        <w:pStyle w:val="Heading1"/>
      </w:pPr>
      <w:r>
        <w:t xml:space="preserve">6. Гарантия</w:t>
      </w:r>
    </w:p>
    <w:p>
      <w:r>
        <w:t xml:space="preserve">Гарантия 12-36 месяцев. RMA-замена 5 рабочих дней. Возможна расширенная техподдержка 24/7 с SLA 4 часа.</w:t>
      </w:r>
    </w:p>
    <w:p>
      <w:pPr>
        <w:pStyle w:val="Heading1"/>
      </w:pPr>
      <w:r>
        <w:t xml:space="preserve">7. Требования к участнику</w:t>
      </w:r>
    </w:p>
    <w:p>
      <w:r>
        <w:t xml:space="preserve">• Юр.лицо РФ, лицензия ФСБ на распространение СКЗИ, ст.31 44-ФЗ, опыт ___ лет.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default="1" w:styleId="Normal">
    <w:name w:val="Normal"/>
  </w:style>
  <w:style w:type="paragraph" w:styleId="Title">
    <w:name w:val="Title"/>
    <w:basedOn w:val="Normal"/>
    <w:pPr>
      <w:jc w:val="center"/>
      <w:spacing w:before="120" w:after="240"/>
    </w:pPr>
    <w:rPr>
      <w:b/>
      <w:sz w:val="32"/>
      <w:caps/>
    </w:rPr>
  </w:style>
  <w:style w:type="paragraph" w:styleId="Heading1">
    <w:name w:val="heading 1"/>
    <w:basedOn w:val="Normal"/>
    <w:pPr>
      <w:spacing w:before="240" w:after="120"/>
    </w:pPr>
    <w:rPr>
      <w:b/>
      <w:sz w:val="28"/>
    </w:rPr>
  </w:style>
  <w:style w:type="paragraph" w:styleId="Heading2">
    <w:name w:val="heading 2"/>
    <w:basedOn w:val="Normal"/>
    <w:pPr>
      <w:spacing w:before="180" w:after="60"/>
    </w:pPr>
    <w:rPr>
      <w:b/>
      <w:sz w:val="26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