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Техническое задание на закупку российской операционной системы</w:t>
      </w:r>
    </w:p>
    <w:p>
      <w:pPr>
        <w:pStyle w:val="Heading1"/>
      </w:pPr>
      <w:r>
        <w:t xml:space="preserve">1. Общие положения</w:t>
      </w:r>
    </w:p>
    <w:p>
      <w:r>
        <w:t xml:space="preserve">Настоящее ТЗ определяет требования к лицензиям на отечественную операционную систему для рабочих станций и серверов организации в рамках программы импортозамещения.</w:t>
      </w:r>
    </w:p>
    <w:p>
      <w:r>
        <w:t xml:space="preserve">Поставка по 44-ФЗ, постановлению №878, постановлению №1236 (реестр российского ПО). ОКПД2: 58.29.13.190.</w:t>
      </w:r>
    </w:p>
    <w:p>
      <w:pPr>
        <w:pStyle w:val="Heading1"/>
      </w:pPr>
      <w:r>
        <w:t xml:space="preserve">2. Предмет закупки</w:t>
      </w:r>
    </w:p>
    <w:p>
      <w:r>
        <w:t xml:space="preserve">Лицензии на отечественную ОС для ___ рабочих станций и ___ серверов организации.</w:t>
      </w:r>
    </w:p>
    <w:p>
      <w:pPr>
        <w:pStyle w:val="Heading1"/>
      </w:pPr>
      <w:r>
        <w:t xml:space="preserve">3. Технические требования</w:t>
      </w:r>
    </w:p>
    <w:tbl>
      <w:tblPr>
        <w:tblW w:w="0" w:type="auto"/>
      </w:tblP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№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Требование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Значение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Наличие в Едином реестре российских программ для ЭВМ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3.2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Сертификат ФСТЭК по требованиям доверия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не ниже 4 уровня доверия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3.3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Сертификат ФСТЭК по классу защищённости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1Б (гос.тайна) или К1-К4 (ПДн) — выбор заказчика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3.4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мандатного контроля целостности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для 1Б и К1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3.5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Замкнутая программная среда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для 1Б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3.6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ГОСТ-криптографии (TLS по ГОСТ 2012)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3.7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Совместимость с КриптоПро CSP / ViPNet CSP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3.8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офисного пакета (LibreOffice, МойОфис)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3.9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1С Предприятие 8.3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(если применимо)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3.10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Active Directory / FreeIPA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3.11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USB-токенов (Рутокен, JaCarta)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3.12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x86-64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3.13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процессоров «Эльбрус»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опционально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3.14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Срок технической поддержки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не менее 12 месяцев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3.15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Обновления безопасности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не менее 5 лет от выпуска версии</w:t>
            </w:r>
          </w:p>
        </w:tc>
      </w:tr>
    </w:tbl>
    <w:p>
      <w:pPr>
        <w:pStyle w:val="Heading1"/>
      </w:pPr>
      <w:r>
        <w:t xml:space="preserve">4. Количество и комплектность</w:t>
      </w:r>
    </w:p>
    <w:p>
      <w:r>
        <w:t xml:space="preserve">Количество лицензий: ____________ шт. (десктоп) + ____________ шт. (сервер).</w:t>
      </w:r>
    </w:p>
    <w:p>
      <w:r>
        <w:t xml:space="preserve">Комплект: лицензионные ключи, формуляр (РУСБ.10015-01 или аналогичный), сертификаты ФСТЭК, руководство администратора, дистрибутив.</w:t>
      </w:r>
    </w:p>
    <w:p>
      <w:pPr>
        <w:pStyle w:val="Heading1"/>
      </w:pPr>
      <w:r>
        <w:t xml:space="preserve">5. Требования к поставке и обучению</w:t>
      </w:r>
    </w:p>
    <w:p>
      <w:r>
        <w:t xml:space="preserve">• Срок поставки — не более 5 рабочих дней с момента подписания контракта.</w:t>
      </w:r>
    </w:p>
    <w:p>
      <w:r>
        <w:t xml:space="preserve">• Документы — в соответствии с 44-ФЗ.</w:t>
      </w:r>
    </w:p>
    <w:p>
      <w:r>
        <w:t xml:space="preserve">• Обучение администраторов — не менее ___ часов очно или дистанционно.</w:t>
      </w:r>
    </w:p>
    <w:p>
      <w:r>
        <w:t xml:space="preserve">• Hotline для пользователей на период миграции — не менее ___ месяцев.</w:t>
      </w:r>
    </w:p>
    <w:p>
      <w:pPr>
        <w:pStyle w:val="Heading1"/>
      </w:pPr>
      <w:r>
        <w:t xml:space="preserve">6. Гарантийные обязательства</w:t>
      </w:r>
    </w:p>
    <w:p>
      <w:r>
        <w:t xml:space="preserve">Гарантия — весь период действия лицензии. Возможность продления техподдержки на 3-5 лет с приоритетом обращений.</w:t>
      </w:r>
    </w:p>
    <w:p>
      <w:pPr>
        <w:pStyle w:val="Heading1"/>
      </w:pPr>
      <w:r>
        <w:t xml:space="preserve">7. Требования к участнику</w:t>
      </w:r>
    </w:p>
    <w:p>
      <w:r>
        <w:t xml:space="preserve">• Юр.лицо РФ, отсутствие в РНП, соответствие ст.31 44-ФЗ.</w:t>
      </w:r>
    </w:p>
    <w:p>
      <w:r>
        <w:t xml:space="preserve">• Опыт поставки лицензий ОС в гос-секторе не менее ___ лет.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default="1" w:styleId="Normal">
    <w:name w:val="Normal"/>
  </w:style>
  <w:style w:type="paragraph" w:styleId="Title">
    <w:name w:val="Title"/>
    <w:basedOn w:val="Normal"/>
    <w:pPr>
      <w:jc w:val="center"/>
      <w:spacing w:before="120" w:after="240"/>
    </w:pPr>
    <w:rPr>
      <w:b/>
      <w:sz w:val="32"/>
      <w:caps/>
    </w:rPr>
  </w:style>
  <w:style w:type="paragraph" w:styleId="Heading1">
    <w:name w:val="heading 1"/>
    <w:basedOn w:val="Normal"/>
    <w:pPr>
      <w:spacing w:before="240" w:after="120"/>
    </w:pPr>
    <w:rPr>
      <w:b/>
      <w:sz w:val="28"/>
    </w:rPr>
  </w:style>
  <w:style w:type="paragraph" w:styleId="Heading2">
    <w:name w:val="heading 2"/>
    <w:basedOn w:val="Normal"/>
    <w:pPr>
      <w:spacing w:before="180" w:after="60"/>
    </w:pPr>
    <w:rPr>
      <w:b/>
      <w:sz w:val="26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