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Техническое задание на закупку средств защиты от несанкционированного доступа</w:t>
      </w:r>
    </w:p>
    <w:p>
      <w:pPr>
        <w:pStyle w:val="Heading1"/>
      </w:pPr>
      <w:r>
        <w:t xml:space="preserve">1. Общие положения</w:t>
      </w:r>
    </w:p>
    <w:p>
      <w:r>
        <w:t xml:space="preserve">ТЗ определяет требования к СЗИ от НСД для рабочих станций и серверов организации.</w:t>
      </w:r>
    </w:p>
    <w:p>
      <w:r>
        <w:t xml:space="preserve">Поставка по 44-ФЗ, требованиям ФСТЭК (приказ №17 от 11.02.2013) и постановлению №127 (для значимых объектов КИИ). ОКПД2: 58.29.32.000.</w:t>
      </w:r>
    </w:p>
    <w:p>
      <w:pPr>
        <w:pStyle w:val="Heading1"/>
      </w:pPr>
      <w:r>
        <w:t xml:space="preserve">2. Предмет закупки</w:t>
      </w:r>
    </w:p>
    <w:p>
      <w:r>
        <w:t xml:space="preserve">Лицензии на средства защиты от НСД для ___ рабочих мест.</w:t>
      </w:r>
    </w:p>
    <w:p>
      <w:pPr>
        <w:pStyle w:val="Heading1"/>
      </w:pPr>
      <w:r>
        <w:t xml:space="preserve">3. Технические требования</w:t>
      </w:r>
    </w:p>
    <w:tbl>
      <w:tblPr>
        <w:tblW w:w="0" w:type="auto"/>
      </w:tblPr>
      <w:tr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№</w:t>
            </w:r>
          </w:p>
        </w:tc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Требование</w:t>
            </w:r>
          </w:p>
        </w:tc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Значение</w:t>
            </w:r>
          </w:p>
        </w:tc>
      </w:tr>
      <w:tr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3.1</w:t>
            </w:r>
          </w:p>
        </w:tc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Сертификат ФСТЭК по требованиям к СЗИ от НСД</w:t>
            </w:r>
          </w:p>
        </w:tc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не ниже 4 класса (выбор заказчика)</w:t>
            </w:r>
          </w:p>
        </w:tc>
      </w:tr>
      <w:tr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3.2</w:t>
            </w:r>
          </w:p>
        </w:tc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Наличие в Реестре Минцифры</w:t>
            </w:r>
          </w:p>
        </w:tc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обязательно</w:t>
            </w:r>
          </w:p>
        </w:tc>
      </w:tr>
      <w:tr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3.3</w:t>
            </w:r>
          </w:p>
        </w:tc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Идентификация и аутентификация</w:t>
            </w:r>
          </w:p>
        </w:tc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пароль, токен, биометрия (опционально)</w:t>
            </w:r>
          </w:p>
        </w:tc>
      </w:tr>
      <w:tr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3.4</w:t>
            </w:r>
          </w:p>
        </w:tc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Дискреционное и мандатное разграничение доступа</w:t>
            </w:r>
          </w:p>
        </w:tc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обязательно</w:t>
            </w:r>
          </w:p>
        </w:tc>
      </w:tr>
      <w:tr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3.5</w:t>
            </w:r>
          </w:p>
        </w:tc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Контроль целостности файлов и реестра</w:t>
            </w:r>
          </w:p>
        </w:tc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обязательно</w:t>
            </w:r>
          </w:p>
        </w:tc>
      </w:tr>
      <w:tr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3.6</w:t>
            </w:r>
          </w:p>
        </w:tc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Очистка освобождаемой памяти и затирание удаляемых файлов</w:t>
            </w:r>
          </w:p>
        </w:tc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обязательно</w:t>
            </w:r>
          </w:p>
        </w:tc>
      </w:tr>
      <w:tr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3.7</w:t>
            </w:r>
          </w:p>
        </w:tc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Замкнутая программная среда (white-list)</w:t>
            </w:r>
          </w:p>
        </w:tc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обязательно для 1Б и К1</w:t>
            </w:r>
          </w:p>
        </w:tc>
      </w:tr>
      <w:tr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3.8</w:t>
            </w:r>
          </w:p>
        </w:tc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Журналирование событий безопасности</w:t>
            </w:r>
          </w:p>
        </w:tc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обязательно, выгрузка в SIEM</w:t>
            </w:r>
          </w:p>
        </w:tc>
      </w:tr>
      <w:tr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3.9</w:t>
            </w:r>
          </w:p>
        </w:tc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Совместимость с ОС</w:t>
            </w:r>
          </w:p>
        </w:tc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Astra Linux SE / РЕД ОС / Windows 10</w:t>
            </w:r>
          </w:p>
        </w:tc>
      </w:tr>
      <w:tr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3.10</w:t>
            </w:r>
          </w:p>
        </w:tc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Централизованное управление</w:t>
            </w:r>
          </w:p>
        </w:tc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через консоль администратора</w:t>
            </w:r>
          </w:p>
        </w:tc>
      </w:tr>
      <w:tr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3.11</w:t>
            </w:r>
          </w:p>
        </w:tc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Поддержка USB-токенов (Рутокен, JaCarta)</w:t>
            </w:r>
          </w:p>
        </w:tc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обязательно для гос-сектора</w:t>
            </w:r>
          </w:p>
        </w:tc>
      </w:tr>
      <w:tr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3.12</w:t>
            </w:r>
          </w:p>
        </w:tc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Антивирусный модуль</w:t>
            </w:r>
          </w:p>
        </w:tc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опционально</w:t>
            </w:r>
          </w:p>
        </w:tc>
      </w:tr>
      <w:tr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3.13</w:t>
            </w:r>
          </w:p>
        </w:tc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DLP-функции</w:t>
            </w:r>
          </w:p>
        </w:tc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опционально</w:t>
            </w:r>
          </w:p>
        </w:tc>
      </w:tr>
      <w:tr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3.14</w:t>
            </w:r>
          </w:p>
        </w:tc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Резервное копирование настроек</w:t>
            </w:r>
          </w:p>
        </w:tc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обязательно</w:t>
            </w:r>
          </w:p>
        </w:tc>
      </w:tr>
      <w:tr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3.15</w:t>
            </w:r>
          </w:p>
        </w:tc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Интеграция с SIEM через syslog</w:t>
            </w:r>
          </w:p>
        </w:tc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обязательно для значимых объектов</w:t>
            </w:r>
          </w:p>
        </w:tc>
      </w:tr>
    </w:tbl>
    <w:p>
      <w:pPr>
        <w:pStyle w:val="Heading1"/>
      </w:pPr>
      <w:r>
        <w:t xml:space="preserve">4. Количество и комплектность</w:t>
      </w:r>
    </w:p>
    <w:p>
      <w:r>
        <w:t xml:space="preserve">Количество лицензий: ____________ шт.</w:t>
      </w:r>
    </w:p>
    <w:p>
      <w:r>
        <w:t xml:space="preserve">Комплект: лицензионные ключи, USB-токены/смарт-карты, формуляр, сертификат ФСТЭК (копия), руководство администратора.</w:t>
      </w:r>
    </w:p>
    <w:p>
      <w:pPr>
        <w:pStyle w:val="Heading1"/>
      </w:pPr>
      <w:r>
        <w:t xml:space="preserve">5. Требования к поставке</w:t>
      </w:r>
    </w:p>
    <w:p>
      <w:r>
        <w:t xml:space="preserve">• Срок поставки — 5-15 рабочих дней.</w:t>
      </w:r>
    </w:p>
    <w:p>
      <w:r>
        <w:t xml:space="preserve">• Документы — УПД через ЭДО или бумагой.</w:t>
      </w:r>
    </w:p>
    <w:p>
      <w:r>
        <w:t xml:space="preserve">• Обучение администраторов и инструкции пользователям.</w:t>
      </w:r>
    </w:p>
    <w:p>
      <w:pPr>
        <w:pStyle w:val="Heading1"/>
      </w:pPr>
      <w:r>
        <w:t xml:space="preserve">6. Гарантия и техподдержка</w:t>
      </w:r>
    </w:p>
    <w:p>
      <w:r>
        <w:t xml:space="preserve">Гарантийный срок 12 месяцев на устройство, 24 месяца на ПО. Продление до 3-5 лет.</w:t>
      </w:r>
    </w:p>
    <w:p>
      <w:pPr>
        <w:pStyle w:val="Heading1"/>
      </w:pPr>
      <w:r>
        <w:t xml:space="preserve">7. Требования к участнику</w:t>
      </w:r>
    </w:p>
    <w:p>
      <w:r>
        <w:t xml:space="preserve">• Юр.лицо РФ, ст.31 44-ФЗ, опыт ___ лет, для гос.тайны — сотрудники с допуском.</w:t>
      </w:r>
    </w:p>
    <w:sectPr>
      <w:pgSz w:w="11906" w:h="16838"/>
      <w:pgMar w:top="1134" w:right="1134" w:bottom="1134" w:left="1134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default="1" w:styleId="Normal">
    <w:name w:val="Normal"/>
  </w:style>
  <w:style w:type="paragraph" w:styleId="Title">
    <w:name w:val="Title"/>
    <w:basedOn w:val="Normal"/>
    <w:pPr>
      <w:jc w:val="center"/>
      <w:spacing w:before="120" w:after="240"/>
    </w:pPr>
    <w:rPr>
      <w:b/>
      <w:sz w:val="32"/>
      <w:caps/>
    </w:rPr>
  </w:style>
  <w:style w:type="paragraph" w:styleId="Heading1">
    <w:name w:val="heading 1"/>
    <w:basedOn w:val="Normal"/>
    <w:pPr>
      <w:spacing w:before="240" w:after="120"/>
    </w:pPr>
    <w:rPr>
      <w:b/>
      <w:sz w:val="28"/>
    </w:rPr>
  </w:style>
  <w:style w:type="paragraph" w:styleId="Heading2">
    <w:name w:val="heading 2"/>
    <w:basedOn w:val="Normal"/>
    <w:pPr>
      <w:spacing w:before="180" w:after="60"/>
    </w:pPr>
    <w:rPr>
      <w:b/>
      <w:sz w:val="26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